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杭州电子大学会计学院教学“优课优酬”奖励实施办法</w:t>
      </w:r>
    </w:p>
    <w:p>
      <w:pPr>
        <w:spacing w:line="360" w:lineRule="auto"/>
        <w:ind w:firstLine="48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为扎实推进人才培养和“课程思政”工作，引导教师进一步强化“标准”意识、进一步优化教学内容、创新课程教学方法与手段，加强学习过程管理，完善学生学习过程监测、评估与反馈机制。通过科学设计课程考核内容和方式，不断提高课堂教学质量，打造“金课”。根据《杭州电子科技大学教学“优课优酬”奖励原则意见（试行）》文件精神，经学院研究决定从20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sz w:val="24"/>
        </w:rPr>
        <w:t>-202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学年开始开展本科和研究生教学“优课优酬”奖励工作。现将有关事项通知如下：</w:t>
      </w:r>
    </w:p>
    <w:p>
      <w:pPr>
        <w:tabs>
          <w:tab w:val="left" w:pos="851"/>
        </w:tabs>
        <w:spacing w:before="156" w:beforeLines="50" w:line="360" w:lineRule="auto"/>
        <w:ind w:firstLine="472" w:firstLineChars="196"/>
        <w:outlineLvl w:val="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一、组织机构设置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学院成立“优课优酬”奖励推荐工作领导小组，主要负责实施细则的制订、遴选和评选结果的审核、异议和申诉的处理等，成员如下：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组  长：肖作平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副组长：贾  勇、苏忠秦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成  员（以姓氏笔画排序）：</w:t>
      </w:r>
      <w:r>
        <w:rPr>
          <w:rFonts w:hint="eastAsia" w:asciiTheme="minorEastAsia" w:hAnsiTheme="minorEastAsia" w:eastAsiaTheme="minorEastAsia"/>
          <w:sz w:val="24"/>
          <w:lang w:eastAsia="zh-CN"/>
        </w:rPr>
        <w:t>张欣哲</w:t>
      </w:r>
      <w:r>
        <w:rPr>
          <w:rFonts w:hint="eastAsia" w:asciiTheme="minorEastAsia" w:hAnsiTheme="minorEastAsia" w:eastAsiaTheme="minorEastAsia"/>
          <w:sz w:val="24"/>
        </w:rPr>
        <w:t>、罗春华</w:t>
      </w:r>
      <w:r>
        <w:rPr>
          <w:rFonts w:hint="eastAsia" w:asciiTheme="minorEastAsia" w:hAnsiTheme="minorEastAsia" w:eastAsiaTheme="minorEastAsia"/>
          <w:sz w:val="24"/>
          <w:lang w:eastAsia="zh-CN"/>
        </w:rPr>
        <w:t>、吕久琴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  <w:lang w:eastAsia="zh-CN"/>
        </w:rPr>
        <w:t>谢会丽</w:t>
      </w:r>
      <w:r>
        <w:rPr>
          <w:rFonts w:hint="eastAsia" w:asciiTheme="minorEastAsia" w:hAnsiTheme="minorEastAsia" w:eastAsiaTheme="minorEastAsia"/>
          <w:sz w:val="24"/>
        </w:rPr>
        <w:t>、程  颖、潘孝珍、燕洪国</w:t>
      </w:r>
    </w:p>
    <w:p>
      <w:pPr>
        <w:tabs>
          <w:tab w:val="left" w:pos="851"/>
        </w:tabs>
        <w:spacing w:before="156" w:beforeLines="50" w:line="360" w:lineRule="auto"/>
        <w:ind w:firstLine="472" w:firstLineChars="196"/>
        <w:outlineLvl w:val="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二、评定类型及申请条件</w:t>
      </w:r>
    </w:p>
    <w:p>
      <w:pPr>
        <w:spacing w:line="360" w:lineRule="auto"/>
        <w:ind w:firstLine="480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bCs/>
          <w:sz w:val="24"/>
        </w:rPr>
        <w:t>为了实现“优课优酬”，</w:t>
      </w:r>
      <w:r>
        <w:rPr>
          <w:rFonts w:asciiTheme="minorEastAsia" w:hAnsiTheme="minorEastAsia" w:eastAsiaTheme="minorEastAsia"/>
          <w:bCs/>
          <w:sz w:val="24"/>
        </w:rPr>
        <w:drawing>
          <wp:anchor distT="0" distB="0" distL="113665" distR="113665" simplePos="0" relativeHeight="251659264" behindDoc="0" locked="0" layoutInCell="1" allowOverlap="1">
            <wp:simplePos x="0" y="0"/>
            <wp:positionH relativeFrom="column">
              <wp:posOffset>7377430</wp:posOffset>
            </wp:positionH>
            <wp:positionV relativeFrom="paragraph">
              <wp:posOffset>135255</wp:posOffset>
            </wp:positionV>
            <wp:extent cx="0" cy="0"/>
            <wp:effectExtent l="1270" t="5715" r="6350" b="1905"/>
            <wp:wrapNone/>
            <wp:docPr id="2" name="In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k 3"/>
                    <pic:cNvPicPr>
                      <a:picLocks noChangeAspect="1" noEditPoints="1" noChangeArrowheads="1" noChangeShapeType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Cs/>
          <w:sz w:val="24"/>
        </w:rPr>
        <w:t>面向全院承担全日制本科生(含全日制学历留学生)和全日制研究生教学任务的一线教师设立</w:t>
      </w:r>
      <w:r>
        <w:rPr>
          <w:rFonts w:hint="eastAsia" w:asciiTheme="minorEastAsia" w:hAnsiTheme="minorEastAsia" w:eastAsiaTheme="minorEastAsia"/>
          <w:sz w:val="24"/>
        </w:rPr>
        <w:t>“课堂教学优秀个人奖”。以实际开课</w:t>
      </w:r>
      <w:r>
        <w:rPr>
          <w:rFonts w:hint="eastAsia" w:asciiTheme="minorEastAsia" w:hAnsiTheme="minorEastAsia" w:eastAsiaTheme="minorEastAsia"/>
          <w:bCs/>
          <w:sz w:val="24"/>
        </w:rPr>
        <w:t>课程为单位进行申报和奖励。基本条件如下：</w:t>
      </w:r>
    </w:p>
    <w:p>
      <w:pPr>
        <w:spacing w:line="360" w:lineRule="auto"/>
        <w:ind w:firstLine="472" w:firstLineChars="196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1.教师师德高尚，承担教学任务。</w:t>
      </w:r>
      <w:r>
        <w:rPr>
          <w:rFonts w:hint="eastAsia" w:asciiTheme="minorEastAsia" w:hAnsiTheme="minorEastAsia" w:eastAsiaTheme="minorEastAsia"/>
          <w:sz w:val="24"/>
        </w:rPr>
        <w:t>主讲教师当学期主讲一门及以上本科或研究生课程，教书育人成效显著，近三年无教学事故及学术不端等行为。</w:t>
      </w:r>
    </w:p>
    <w:p>
      <w:pPr>
        <w:spacing w:line="360" w:lineRule="auto"/>
        <w:ind w:firstLine="472" w:firstLineChars="196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2.基本教学文档齐全完备。</w:t>
      </w:r>
      <w:r>
        <w:rPr>
          <w:rFonts w:hint="eastAsia" w:asciiTheme="minorEastAsia" w:hAnsiTheme="minorEastAsia" w:eastAsiaTheme="minorEastAsia"/>
          <w:sz w:val="24"/>
        </w:rPr>
        <w:t>教学文档包含教学大纲、授课计划、教案、课件、学生成绩登记册、作业及试卷(或实验、实践报告)批改情况等。</w:t>
      </w:r>
    </w:p>
    <w:p>
      <w:pPr>
        <w:spacing w:line="360" w:lineRule="auto"/>
        <w:ind w:firstLine="472" w:firstLineChars="196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3.积极利用网络教学平台开展教学活动。</w:t>
      </w:r>
      <w:r>
        <w:rPr>
          <w:rFonts w:hint="eastAsia" w:asciiTheme="minorEastAsia" w:hAnsiTheme="minorEastAsia" w:eastAsiaTheme="minorEastAsia"/>
          <w:sz w:val="24"/>
        </w:rPr>
        <w:t>按照要求按时在网络教学平台上传教学文档，并开展讨论、答疑、习题和测试等教学活动。</w:t>
      </w:r>
    </w:p>
    <w:p>
      <w:pPr>
        <w:spacing w:line="360" w:lineRule="auto"/>
        <w:ind w:firstLine="477" w:firstLineChars="198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4.课程教学效果综合评价优良。</w:t>
      </w:r>
      <w:r>
        <w:rPr>
          <w:rFonts w:hint="eastAsia" w:asciiTheme="minorEastAsia" w:hAnsiTheme="minorEastAsia" w:eastAsiaTheme="minorEastAsia"/>
          <w:sz w:val="24"/>
        </w:rPr>
        <w:t>课堂教学的学评教成绩位于全院的前</w:t>
      </w:r>
      <w:r>
        <w:rPr>
          <w:rFonts w:asciiTheme="minorEastAsia" w:hAnsiTheme="minorEastAsia" w:eastAsiaTheme="minorEastAsia"/>
          <w:sz w:val="24"/>
        </w:rPr>
        <w:t>50%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spacing w:line="360" w:lineRule="auto"/>
        <w:ind w:firstLine="477" w:firstLineChars="198"/>
        <w:rPr>
          <w:rFonts w:asciiTheme="minorEastAsia" w:hAnsiTheme="minorEastAsia" w:eastAsiaTheme="minorEastAsia"/>
          <w:b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5</w:t>
      </w:r>
      <w:r>
        <w:rPr>
          <w:rFonts w:hint="eastAsia" w:asciiTheme="minorEastAsia" w:hAnsiTheme="minorEastAsia" w:eastAsiaTheme="minorEastAsia"/>
          <w:sz w:val="24"/>
        </w:rPr>
        <w:t>.</w:t>
      </w:r>
      <w:r>
        <w:rPr>
          <w:rFonts w:hint="eastAsia" w:asciiTheme="minorEastAsia" w:hAnsiTheme="minorEastAsia" w:eastAsiaTheme="minorEastAsia"/>
          <w:b/>
          <w:sz w:val="24"/>
        </w:rPr>
        <w:t>优先鼓励国家和浙江省精品在线开放课程、省课堂教学改革项目、校</w:t>
      </w:r>
      <w:r>
        <w:rPr>
          <w:rFonts w:asciiTheme="minorEastAsia" w:hAnsiTheme="minorEastAsia" w:eastAsiaTheme="minorEastAsia"/>
          <w:b/>
          <w:sz w:val="24"/>
        </w:rPr>
        <w:t>通识</w:t>
      </w:r>
      <w:r>
        <w:rPr>
          <w:rFonts w:hint="eastAsia" w:asciiTheme="minorEastAsia" w:hAnsiTheme="minorEastAsia" w:eastAsiaTheme="minorEastAsia"/>
          <w:b/>
          <w:sz w:val="24"/>
        </w:rPr>
        <w:t>选修</w:t>
      </w:r>
      <w:r>
        <w:rPr>
          <w:rFonts w:asciiTheme="minorEastAsia" w:hAnsiTheme="minorEastAsia" w:eastAsiaTheme="minorEastAsia"/>
          <w:b/>
          <w:sz w:val="24"/>
        </w:rPr>
        <w:t>核心</w:t>
      </w:r>
      <w:r>
        <w:rPr>
          <w:rFonts w:hint="eastAsia" w:asciiTheme="minorEastAsia" w:hAnsiTheme="minorEastAsia" w:eastAsiaTheme="minorEastAsia"/>
          <w:b/>
          <w:sz w:val="24"/>
        </w:rPr>
        <w:t>课程</w:t>
      </w:r>
      <w:r>
        <w:rPr>
          <w:rFonts w:asciiTheme="minorEastAsia" w:hAnsiTheme="minorEastAsia" w:eastAsiaTheme="minorEastAsia"/>
          <w:b/>
          <w:sz w:val="24"/>
        </w:rPr>
        <w:t>、</w:t>
      </w:r>
      <w:r>
        <w:rPr>
          <w:rFonts w:hint="eastAsia" w:asciiTheme="minorEastAsia" w:hAnsiTheme="minorEastAsia" w:eastAsiaTheme="minorEastAsia"/>
          <w:b/>
          <w:sz w:val="24"/>
        </w:rPr>
        <w:t>校级翻转课堂改革建设项目等课程改革项目的课程参评。</w:t>
      </w:r>
    </w:p>
    <w:p>
      <w:pPr>
        <w:tabs>
          <w:tab w:val="left" w:pos="851"/>
        </w:tabs>
        <w:spacing w:before="156" w:beforeLines="50" w:line="360" w:lineRule="auto"/>
        <w:ind w:firstLine="472" w:firstLineChars="196"/>
        <w:outlineLvl w:val="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三、各系（中心）名额分配办法</w:t>
      </w:r>
    </w:p>
    <w:p>
      <w:pPr>
        <w:spacing w:line="360" w:lineRule="auto"/>
        <w:ind w:firstLine="48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根据学校“优课优酬”的奖励办法，以各系（中心）每学期开课数量的20%计算确定各系（中心）的“优课优酬”名额。其中，研究生教学按照实际开课数的20%单独计算名额，不列入各系（中心）。</w:t>
      </w:r>
    </w:p>
    <w:p>
      <w:pPr>
        <w:tabs>
          <w:tab w:val="left" w:pos="851"/>
        </w:tabs>
        <w:spacing w:before="156" w:beforeLines="50" w:line="360" w:lineRule="auto"/>
        <w:ind w:firstLine="472" w:firstLineChars="196"/>
        <w:outlineLvl w:val="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四、“优课”评选办法</w:t>
      </w:r>
    </w:p>
    <w:p>
      <w:pPr>
        <w:spacing w:line="360" w:lineRule="auto"/>
        <w:ind w:firstLine="48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为了体现“优课优酬”，对“优课”进行评选，要求主讲教师课堂教学效果优良，综合评价名列前茅。综合评价由学生评价、同行评价、专家评价、过程评价及附加分组成。详见表1。</w:t>
      </w:r>
    </w:p>
    <w:p>
      <w:pPr>
        <w:snapToGrid w:val="0"/>
        <w:spacing w:before="156" w:beforeLines="50"/>
        <w:jc w:val="center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表1  课堂教学优秀个人奖的综合评价细则</w:t>
      </w:r>
    </w:p>
    <w:tbl>
      <w:tblPr>
        <w:tblStyle w:val="10"/>
        <w:tblW w:w="8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992"/>
        <w:gridCol w:w="61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评价</w:t>
            </w:r>
          </w:p>
          <w:p>
            <w:pPr>
              <w:widowControl/>
              <w:snapToGrid w:val="0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构成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权重</w:t>
            </w:r>
          </w:p>
          <w:p>
            <w:pPr>
              <w:widowControl/>
              <w:snapToGrid w:val="0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eastAsiaTheme="minorEastAsia" w:cstheme="minorBidi"/>
                <w:b/>
                <w:kern w:val="0"/>
                <w:sz w:val="18"/>
                <w:szCs w:val="18"/>
              </w:rPr>
              <w:t>%</w:t>
            </w:r>
            <w:r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评价</w:t>
            </w:r>
          </w:p>
          <w:p>
            <w:pPr>
              <w:widowControl/>
              <w:snapToGrid w:val="0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主体</w:t>
            </w:r>
          </w:p>
        </w:tc>
        <w:tc>
          <w:tcPr>
            <w:tcW w:w="6144" w:type="dxa"/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18"/>
              </w:rPr>
              <w:t>评价细则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75" w:type="dxa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学生</w:t>
            </w:r>
          </w:p>
          <w:p>
            <w:pPr>
              <w:widowControl/>
              <w:snapToGrid w:val="0"/>
              <w:spacing w:line="276" w:lineRule="auto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评价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Bidi"/>
                <w:kern w:val="0"/>
                <w:sz w:val="18"/>
                <w:szCs w:val="18"/>
              </w:rPr>
              <w:t>35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学生</w:t>
            </w:r>
          </w:p>
        </w:tc>
        <w:tc>
          <w:tcPr>
            <w:tcW w:w="6144" w:type="dxa"/>
            <w:vAlign w:val="center"/>
          </w:tcPr>
          <w:p>
            <w:pPr>
              <w:widowControl/>
              <w:snapToGrid w:val="0"/>
              <w:spacing w:line="276" w:lineRule="auto"/>
              <w:ind w:firstLine="270" w:firstLineChars="150"/>
              <w:rPr>
                <w:rFonts w:asciiTheme="minorEastAsia" w:hAnsiTheme="minorEastAsia" w:eastAsiaTheme="minorEastAsia" w:cstheme="minorBidi"/>
                <w:kern w:val="0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hAnsiTheme="minorEastAsia" w:eastAsiaTheme="minorEastAsia" w:cstheme="minorBidi"/>
                        <w:kern w:val="0"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eastAsiaTheme="minorEastAsia" w:cstheme="minorBidi"/>
                        <w:kern w:val="0"/>
                        <w:sz w:val="18"/>
                        <w:szCs w:val="18"/>
                      </w:rPr>
                      <m:t>学生评价得分</m:t>
                    </m:r>
                    <m:ctrlPr>
                      <w:rPr>
                        <w:rFonts w:ascii="Cambria Math" w:hAnsiTheme="minorEastAsia" w:eastAsiaTheme="minorEastAsia" w:cstheme="minorBidi"/>
                        <w:kern w:val="0"/>
                        <w:sz w:val="18"/>
                        <w:szCs w:val="18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hAnsiTheme="minorEastAsia" w:eastAsiaTheme="minorEastAsia" w:cstheme="minorBidi"/>
                        <w:kern w:val="0"/>
                        <w:sz w:val="18"/>
                        <w:szCs w:val="18"/>
                      </w:rPr>
                      <m:t>i</m:t>
                    </m:r>
                    <m:ctrlPr>
                      <w:rPr>
                        <w:rFonts w:ascii="Cambria Math" w:hAnsiTheme="minorEastAsia" w:eastAsiaTheme="minorEastAsia" w:cstheme="minorBidi"/>
                        <w:kern w:val="0"/>
                        <w:sz w:val="18"/>
                        <w:szCs w:val="18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Theme="minorEastAsia" w:eastAsiaTheme="minorEastAsia" w:cstheme="minorBidi"/>
                    <w:kern w:val="0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Theme="minorEastAsia" w:eastAsiaTheme="minorEastAsia" w:cstheme="minorBidi"/>
                        <w:kern w:val="0"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Theme="minorEastAsia" w:eastAsiaTheme="minorEastAsia" w:cstheme="minorBidi"/>
                            <w:kern w:val="0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eastAsiaTheme="minorEastAsia" w:cstheme="minorBidi"/>
                            <w:kern w:val="0"/>
                            <w:sz w:val="18"/>
                            <w:szCs w:val="18"/>
                          </w:rPr>
                          <m:t>学评教得分</m:t>
                        </m:r>
                        <m:ctrlPr>
                          <w:rPr>
                            <w:rFonts w:ascii="Cambria Math" w:hAnsiTheme="minorEastAsia" w:eastAsiaTheme="minorEastAsia" w:cstheme="minorBidi"/>
                            <w:kern w:val="0"/>
                            <w:sz w:val="18"/>
                            <w:szCs w:val="18"/>
                          </w:rPr>
                        </m:ctrlP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Theme="minorEastAsia" w:eastAsiaTheme="minorEastAsia" w:cstheme="minorBidi"/>
                            <w:kern w:val="0"/>
                            <w:sz w:val="18"/>
                            <w:szCs w:val="18"/>
                          </w:rPr>
                          <m:t>i</m:t>
                        </m:r>
                        <m:ctrlPr>
                          <w:rPr>
                            <w:rFonts w:ascii="Cambria Math" w:hAnsiTheme="minorEastAsia" w:eastAsiaTheme="minorEastAsia" w:cstheme="minorBidi"/>
                            <w:kern w:val="0"/>
                            <w:sz w:val="18"/>
                            <w:szCs w:val="18"/>
                          </w:rPr>
                        </m:ctrlP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eastAsiaTheme="minorEastAsia" w:cstheme="minorBidi"/>
                        <w:kern w:val="0"/>
                        <w:sz w:val="18"/>
                        <w:szCs w:val="18"/>
                      </w:rPr>
                      <m:t>-学院学评教最低分</m:t>
                    </m:r>
                    <m:ctrlPr>
                      <w:rPr>
                        <w:rFonts w:ascii="Cambria Math" w:hAnsiTheme="minorEastAsia" w:eastAsiaTheme="minorEastAsia" w:cstheme="minorBidi"/>
                        <w:kern w:val="0"/>
                        <w:sz w:val="18"/>
                        <w:szCs w:val="18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Theme="minorEastAsia" w:cstheme="minorBidi"/>
                        <w:kern w:val="0"/>
                        <w:sz w:val="18"/>
                        <w:szCs w:val="18"/>
                      </w:rPr>
                      <m:t>学院学评教最高分-学院学评教最低分</m:t>
                    </m:r>
                    <m:ctrlPr>
                      <w:rPr>
                        <w:rFonts w:ascii="Cambria Math" w:hAnsiTheme="minorEastAsia" w:eastAsiaTheme="minorEastAsia" w:cstheme="minorBidi"/>
                        <w:kern w:val="0"/>
                        <w:sz w:val="18"/>
                        <w:szCs w:val="18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hAnsiTheme="minorEastAsia" w:eastAsiaTheme="minorEastAsia" w:cstheme="minorBidi"/>
                    <w:kern w:val="0"/>
                    <w:sz w:val="18"/>
                    <w:szCs w:val="18"/>
                  </w:rPr>
                  <m:t>×100</m:t>
                </m:r>
              </m:oMath>
            </m:oMathPara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同行评价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Bidi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 w:cstheme="minorBidi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系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（部）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教师互评</w:t>
            </w:r>
          </w:p>
        </w:tc>
        <w:tc>
          <w:tcPr>
            <w:tcW w:w="6144" w:type="dxa"/>
            <w:vAlign w:val="center"/>
          </w:tcPr>
          <w:p>
            <w:pPr>
              <w:widowControl/>
              <w:snapToGrid w:val="0"/>
              <w:spacing w:line="276" w:lineRule="auto"/>
              <w:ind w:firstLine="270" w:firstLineChars="150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主要以听课、教学文档（包含教案、教学大纲、授课计划、课件、作业及试卷批改情况）等方面为考评条件。酌情打分。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75" w:type="dxa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专家</w:t>
            </w:r>
          </w:p>
          <w:p>
            <w:pPr>
              <w:snapToGrid w:val="0"/>
              <w:spacing w:line="276" w:lineRule="auto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评价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Bidi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专家组</w:t>
            </w:r>
          </w:p>
        </w:tc>
        <w:tc>
          <w:tcPr>
            <w:tcW w:w="6144" w:type="dxa"/>
            <w:vAlign w:val="center"/>
          </w:tcPr>
          <w:p>
            <w:pPr>
              <w:widowControl/>
              <w:snapToGrid w:val="0"/>
              <w:spacing w:line="276" w:lineRule="auto"/>
              <w:ind w:firstLine="270" w:firstLineChars="150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主要以听课、教学文档（包含教案、教学大纲、授课计划、课件、作业及试卷批改情况）等方面为考评条件。酌情打分。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75" w:type="dxa"/>
            <w:vMerge w:val="restart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过程评价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Theme="minorEastAsia" w:hAnsiTheme="minorEastAsia" w:eastAsiaTheme="minorEastAsia" w:cstheme="minorBidi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Bidi"/>
                <w:kern w:val="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系主任</w:t>
            </w:r>
          </w:p>
        </w:tc>
        <w:tc>
          <w:tcPr>
            <w:tcW w:w="614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ind w:firstLine="270" w:firstLineChars="150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根据系、教研室或课程组的教学活动参与情况酌情打分。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675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Theme="minorEastAsia" w:hAnsiTheme="minorEastAsia" w:eastAsiaTheme="minorEastAsia" w:cstheme="minorBidi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000000" w:themeColor="text1" w:sz="4" w:space="0"/>
            </w:tcBorders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教科办</w:t>
            </w:r>
          </w:p>
        </w:tc>
        <w:tc>
          <w:tcPr>
            <w:tcW w:w="6144" w:type="dxa"/>
            <w:tcBorders>
              <w:top w:val="single" w:color="auto" w:sz="4" w:space="0"/>
              <w:bottom w:val="single" w:color="000000" w:themeColor="text1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ind w:firstLine="264" w:firstLineChars="147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1、校/院教学研讨和培训等教学活动参与情况。酌情打分，满分5分。</w:t>
            </w:r>
          </w:p>
          <w:p>
            <w:pPr>
              <w:widowControl/>
              <w:snapToGrid w:val="0"/>
              <w:spacing w:line="276" w:lineRule="auto"/>
              <w:ind w:firstLine="264" w:firstLineChars="147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2、网络教学平台教学开展情况。酌情打分，满分5分。</w:t>
            </w:r>
          </w:p>
          <w:p>
            <w:pPr>
              <w:widowControl/>
              <w:snapToGrid w:val="0"/>
              <w:spacing w:line="276" w:lineRule="auto"/>
              <w:ind w:firstLine="264" w:firstLineChars="147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3、个人原因调课、成绩提交超时、成绩更正等每次扣2分，扣分上不封顶。无类似事件发生则获得满分5分。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675" w:type="dxa"/>
            <w:tcBorders>
              <w:top w:val="single" w:color="000000" w:themeColor="text1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网络教学专项评价*</w:t>
            </w:r>
          </w:p>
        </w:tc>
        <w:tc>
          <w:tcPr>
            <w:tcW w:w="709" w:type="dxa"/>
            <w:tcBorders>
              <w:top w:val="single" w:color="000000" w:themeColor="text1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asciiTheme="minorEastAsia" w:hAnsiTheme="minorEastAsia" w:eastAsiaTheme="minorEastAsia" w:cstheme="minorBidi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Bidi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color="000000" w:themeColor="text1" w:sz="4" w:space="0"/>
            </w:tcBorders>
            <w:shd w:val="clear" w:color="auto" w:fill="F1F1F1" w:themeFill="background1" w:themeFillShade="F2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专家组</w:t>
            </w:r>
          </w:p>
        </w:tc>
        <w:tc>
          <w:tcPr>
            <w:tcW w:w="6144" w:type="dxa"/>
            <w:tcBorders>
              <w:top w:val="single" w:color="000000" w:themeColor="text1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snapToGrid w:val="0"/>
              <w:spacing w:line="276" w:lineRule="auto"/>
              <w:ind w:firstLine="264" w:firstLineChars="147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1、教学设计（书面方案评审）。满分3分，酌情打分。</w:t>
            </w:r>
          </w:p>
          <w:p>
            <w:pPr>
              <w:widowControl/>
              <w:snapToGrid w:val="0"/>
              <w:spacing w:line="276" w:lineRule="auto"/>
              <w:ind w:firstLine="264" w:firstLineChars="147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2、网络教学资源推送。满分2分，酌情打分。</w:t>
            </w:r>
          </w:p>
          <w:p>
            <w:pPr>
              <w:widowControl/>
              <w:snapToGrid w:val="0"/>
              <w:spacing w:line="276" w:lineRule="auto"/>
              <w:ind w:firstLine="264" w:firstLineChars="147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3、网络授课效果。满分3分，酌情打分。</w:t>
            </w:r>
          </w:p>
          <w:p>
            <w:pPr>
              <w:widowControl/>
              <w:snapToGrid w:val="0"/>
              <w:spacing w:line="276" w:lineRule="auto"/>
              <w:ind w:firstLine="264" w:firstLineChars="147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4、网络教学过程考核（包括测试和作业等）。满分2分，酌情打分。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奖励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709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eastAsiaTheme="minorEastAsia" w:cstheme="minorBidi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教科办</w:t>
            </w:r>
          </w:p>
        </w:tc>
        <w:tc>
          <w:tcPr>
            <w:tcW w:w="6144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snapToGrid w:val="0"/>
              <w:spacing w:line="276" w:lineRule="auto"/>
              <w:ind w:firstLine="270" w:firstLineChars="150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满分</w:t>
            </w:r>
            <w:r>
              <w:rPr>
                <w:rFonts w:asciiTheme="minorEastAsia" w:hAnsiTheme="minorEastAsia" w:eastAsiaTheme="minorEastAsia" w:cstheme="minorBidi"/>
                <w:kern w:val="0"/>
                <w:sz w:val="18"/>
                <w:szCs w:val="18"/>
              </w:rPr>
              <w:t>10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分。主要指教师参与担任课程直接相关的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课程建设、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教材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建设、教学竞赛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等项目（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课程开设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学期立项），申报项目附加分记为</w:t>
            </w:r>
            <w:r>
              <w:rPr>
                <w:rFonts w:asciiTheme="minorEastAsia" w:hAnsiTheme="minorEastAsia" w:eastAsiaTheme="minorEastAsia" w:cstheme="minorBidi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分，立项院级项目为</w:t>
            </w:r>
            <w:r>
              <w:rPr>
                <w:rFonts w:asciiTheme="minorEastAsia" w:hAnsiTheme="minorEastAsia" w:eastAsiaTheme="minorEastAsia" w:cstheme="minorBidi"/>
                <w:kern w:val="0"/>
                <w:sz w:val="18"/>
                <w:szCs w:val="18"/>
              </w:rPr>
              <w:t>3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分，校级项目为</w:t>
            </w:r>
            <w:r>
              <w:rPr>
                <w:rFonts w:asciiTheme="minorEastAsia" w:hAnsiTheme="minorEastAsia" w:eastAsiaTheme="minorEastAsia" w:cstheme="minorBidi"/>
                <w:kern w:val="0"/>
                <w:sz w:val="18"/>
                <w:szCs w:val="18"/>
              </w:rPr>
              <w:t>5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分，省级为</w:t>
            </w:r>
            <w:r>
              <w:rPr>
                <w:rFonts w:asciiTheme="minorEastAsia" w:hAnsiTheme="minorEastAsia" w:eastAsiaTheme="minorEastAsia" w:cstheme="minorBidi"/>
                <w:kern w:val="0"/>
                <w:sz w:val="18"/>
                <w:szCs w:val="18"/>
              </w:rPr>
              <w:t>7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分，国家级为</w:t>
            </w:r>
            <w:r>
              <w:rPr>
                <w:rFonts w:asciiTheme="minorEastAsia" w:hAnsiTheme="minorEastAsia" w:eastAsiaTheme="minorEastAsia" w:cstheme="minorBidi"/>
                <w:kern w:val="0"/>
                <w:sz w:val="18"/>
                <w:szCs w:val="18"/>
              </w:rPr>
              <w:t>10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  <w:t>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ind w:firstLine="360" w:firstLineChars="200"/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注：除扣分项和奖励加分项以外，所有评分按照百分制，然后加权计算综合评价结果；若出现教学事故或教学不端行为，取消“优课优酬”评选资格；研究生教学“优课优酬”评价参照执行，酌情调整。</w:t>
            </w:r>
          </w:p>
          <w:p>
            <w:pPr>
              <w:widowControl/>
              <w:snapToGrid w:val="0"/>
              <w:ind w:firstLine="360" w:firstLineChars="200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u w:val="single"/>
              </w:rPr>
            </w:pPr>
          </w:p>
        </w:tc>
      </w:tr>
    </w:tbl>
    <w:p>
      <w:pPr>
        <w:tabs>
          <w:tab w:val="left" w:pos="851"/>
        </w:tabs>
        <w:spacing w:before="156" w:beforeLines="50" w:line="360" w:lineRule="auto"/>
        <w:ind w:firstLine="472" w:firstLineChars="196"/>
        <w:outlineLvl w:val="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五、评选程序</w:t>
      </w:r>
    </w:p>
    <w:p>
      <w:pPr>
        <w:spacing w:line="360" w:lineRule="auto"/>
        <w:ind w:firstLine="48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1．“优课”评选采取“个人自荐”+“学院综合评价”+“学校审核”的方式。</w:t>
      </w:r>
    </w:p>
    <w:p>
      <w:pPr>
        <w:spacing w:line="360" w:lineRule="auto"/>
        <w:ind w:firstLine="48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2．请自荐的教师填写申报简表（附件1），并将之与课程教学文档（电子稿或纸质稿）在开学第一周提交所在系（中心）。</w:t>
      </w:r>
    </w:p>
    <w:p>
      <w:pPr>
        <w:spacing w:line="360" w:lineRule="auto"/>
        <w:ind w:firstLine="48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3．系（中心）按照课程综合评比办法，组织完成同行评价和过程评价，并填写“优科”推荐汇总表（附件2），于开学第三周之前上报学院。</w:t>
      </w:r>
    </w:p>
    <w:p>
      <w:pPr>
        <w:spacing w:line="360" w:lineRule="auto"/>
        <w:ind w:firstLine="48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4．学院根据各系（中心）上报的材料，组织完成学生评价、专家评价、过程评价及附加分评定。</w:t>
      </w:r>
    </w:p>
    <w:p>
      <w:pPr>
        <w:spacing w:line="360" w:lineRule="auto"/>
        <w:ind w:firstLine="48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5．学院完成综合评价后，将排序推荐上报学校。</w:t>
      </w:r>
    </w:p>
    <w:p>
      <w:pPr>
        <w:spacing w:line="360" w:lineRule="auto"/>
        <w:ind w:firstLine="482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(三)学院初评与公示。</w:t>
      </w:r>
      <w:r>
        <w:rPr>
          <w:rFonts w:hint="eastAsia" w:asciiTheme="minorEastAsia" w:hAnsiTheme="minorEastAsia" w:eastAsiaTheme="minorEastAsia"/>
          <w:sz w:val="24"/>
        </w:rPr>
        <w:t>每学期第4周之前，学院对本学期申报“优课优酬”的课程综合评价结果进行汇总、根据本学期学院开课门次数(毕业设计、毕业实习分散开展的实践（实习）环节以及体质测试课程除外)的前20%的比例进行初评和排序推荐，公示后上报学校。</w:t>
      </w:r>
    </w:p>
    <w:p>
      <w:pPr>
        <w:pStyle w:val="15"/>
        <w:spacing w:line="360" w:lineRule="auto"/>
        <w:ind w:firstLine="354" w:firstLineChars="147"/>
        <w:rPr>
          <w:rFonts w:asciiTheme="minorEastAsia" w:hAnsiTheme="minorEastAsia" w:eastAsiaTheme="minorEastAsia"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（四）异议和申诉。</w:t>
      </w:r>
      <w:r>
        <w:rPr>
          <w:rFonts w:hint="eastAsia" w:asciiTheme="minorEastAsia" w:hAnsiTheme="minorEastAsia" w:eastAsiaTheme="minorEastAsia"/>
          <w:sz w:val="24"/>
          <w:szCs w:val="24"/>
        </w:rPr>
        <w:t>学院工作小组负责优课的异议和申诉，教师可以对学院公示的优课遴选结果提出异议，优课教师也有权对处理结果提出申诉。</w:t>
      </w:r>
    </w:p>
    <w:p>
      <w:pPr>
        <w:tabs>
          <w:tab w:val="left" w:pos="851"/>
        </w:tabs>
        <w:spacing w:before="156" w:beforeLines="50" w:line="360" w:lineRule="auto"/>
        <w:ind w:firstLine="472" w:firstLineChars="196"/>
        <w:outlineLvl w:val="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六、考核办法</w:t>
      </w:r>
    </w:p>
    <w:p>
      <w:pPr>
        <w:pStyle w:val="15"/>
        <w:spacing w:line="360" w:lineRule="auto"/>
        <w:ind w:firstLine="48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学校组织专家，通过调阅教学文档的方式并结合随堂听课等记录，对学院（部）推荐的课程进行审核、重点审核推荐排序的后20%课程，根据审核结果最终确定“优课优酬”奖励名单。</w:t>
      </w:r>
    </w:p>
    <w:p>
      <w:pPr>
        <w:tabs>
          <w:tab w:val="left" w:pos="851"/>
        </w:tabs>
        <w:spacing w:before="156" w:beforeLines="50" w:line="360" w:lineRule="auto"/>
        <w:ind w:firstLine="472" w:firstLineChars="196"/>
        <w:outlineLvl w:val="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七、奖励办法</w:t>
      </w:r>
    </w:p>
    <w:p>
      <w:pPr>
        <w:spacing w:line="360" w:lineRule="auto"/>
        <w:ind w:firstLine="48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学院将全院教学科研岗位绩效的3%-5%用于奖励入选“优课”奖励名单的教师。</w:t>
      </w:r>
    </w:p>
    <w:p>
      <w:pPr>
        <w:spacing w:line="360" w:lineRule="auto"/>
        <w:ind w:firstLine="480"/>
        <w:rPr>
          <w:rFonts w:asciiTheme="minorEastAsia" w:hAnsiTheme="minorEastAsia" w:eastAsiaTheme="minorEastAsia"/>
          <w:b/>
          <w:color w:val="FF0000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八、本办法自发布之日起开始实施，由学院党政联席会负责解释。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附件：会计学院教学“优课”自荐申报简表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</w:p>
    <w:p>
      <w:pPr>
        <w:spacing w:line="360" w:lineRule="auto"/>
        <w:ind w:firstLine="480"/>
        <w:rPr>
          <w:rFonts w:ascii="仿宋" w:hAnsi="仿宋" w:eastAsia="仿宋"/>
          <w:sz w:val="24"/>
        </w:rPr>
      </w:pPr>
    </w:p>
    <w:p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附件</w:t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会计学院教学“优课”自荐申报简表</w:t>
      </w:r>
    </w:p>
    <w:tbl>
      <w:tblPr>
        <w:tblStyle w:val="10"/>
        <w:tblW w:w="965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448"/>
        <w:gridCol w:w="965"/>
        <w:gridCol w:w="708"/>
        <w:gridCol w:w="145"/>
        <w:gridCol w:w="1556"/>
        <w:gridCol w:w="712"/>
        <w:gridCol w:w="714"/>
        <w:gridCol w:w="1550"/>
        <w:gridCol w:w="21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申请人</w:t>
            </w:r>
          </w:p>
        </w:tc>
        <w:tc>
          <w:tcPr>
            <w:tcW w:w="2266" w:type="dxa"/>
            <w:gridSpan w:val="4"/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姓名</w:t>
            </w:r>
          </w:p>
        </w:tc>
        <w:tc>
          <w:tcPr>
            <w:tcW w:w="298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工号</w:t>
            </w:r>
          </w:p>
        </w:tc>
        <w:tc>
          <w:tcPr>
            <w:tcW w:w="37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系（教研室）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2266" w:type="dxa"/>
            <w:gridSpan w:val="4"/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298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37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exac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课程信息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课程名称</w:t>
            </w: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学分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选课课号</w:t>
            </w:r>
          </w:p>
        </w:tc>
        <w:tc>
          <w:tcPr>
            <w:tcW w:w="7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选课</w:t>
            </w:r>
          </w:p>
          <w:p>
            <w:pPr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人数</w:t>
            </w:r>
          </w:p>
        </w:tc>
        <w:tc>
          <w:tcPr>
            <w:tcW w:w="22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网络教学平台（校平台、省平台或中国大学mooc平台等）</w:t>
            </w:r>
          </w:p>
        </w:tc>
        <w:tc>
          <w:tcPr>
            <w:tcW w:w="217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网络授课方式（钉钉、QQ直播或其他）*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7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22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217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7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22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217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7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22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217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0" w:type="dxa"/>
            <w:gridSpan w:val="10"/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申请理由（不够可另外加页）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0" w:type="dxa"/>
            <w:gridSpan w:val="10"/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  <w:p>
            <w:pPr>
              <w:jc w:val="center"/>
              <w:rPr>
                <w:rFonts w:eastAsiaTheme="minorEastAsia" w:cstheme="minorBidi"/>
              </w:rPr>
            </w:pPr>
          </w:p>
          <w:p>
            <w:pPr>
              <w:jc w:val="center"/>
              <w:rPr>
                <w:rFonts w:eastAsiaTheme="minorEastAsia" w:cstheme="minorBidi"/>
              </w:rPr>
            </w:pPr>
          </w:p>
          <w:p>
            <w:pPr>
              <w:jc w:val="center"/>
              <w:rPr>
                <w:rFonts w:eastAsiaTheme="minorEastAsia" w:cstheme="minorBidi"/>
              </w:rPr>
            </w:pPr>
          </w:p>
          <w:p>
            <w:pPr>
              <w:jc w:val="center"/>
              <w:rPr>
                <w:rFonts w:eastAsiaTheme="minorEastAsia" w:cstheme="minorBidi"/>
              </w:rPr>
            </w:pPr>
          </w:p>
          <w:p>
            <w:pPr>
              <w:jc w:val="center"/>
              <w:rPr>
                <w:rFonts w:eastAsiaTheme="minorEastAsia" w:cstheme="minorBidi"/>
              </w:rPr>
            </w:pPr>
          </w:p>
          <w:p>
            <w:pPr>
              <w:spacing w:line="360" w:lineRule="auto"/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 xml:space="preserve">                         申请人：</w:t>
            </w:r>
          </w:p>
          <w:p>
            <w:pPr>
              <w:wordWrap w:val="0"/>
              <w:spacing w:line="360" w:lineRule="auto"/>
              <w:jc w:val="right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 xml:space="preserve">   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系负责人</w:t>
            </w:r>
          </w:p>
          <w:p>
            <w:pPr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审核意见</w:t>
            </w:r>
          </w:p>
        </w:tc>
        <w:tc>
          <w:tcPr>
            <w:tcW w:w="8525" w:type="dxa"/>
            <w:gridSpan w:val="8"/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  <w:p>
            <w:pPr>
              <w:jc w:val="center"/>
              <w:rPr>
                <w:rFonts w:eastAsiaTheme="minorEastAsia" w:cstheme="minorBidi"/>
              </w:rPr>
            </w:pPr>
          </w:p>
          <w:p>
            <w:pPr>
              <w:jc w:val="center"/>
              <w:rPr>
                <w:rFonts w:eastAsiaTheme="minorEastAsia" w:cstheme="minorBidi"/>
              </w:rPr>
            </w:pPr>
          </w:p>
          <w:p>
            <w:pPr>
              <w:spacing w:line="360" w:lineRule="auto"/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 xml:space="preserve">                                         签名：</w:t>
            </w:r>
          </w:p>
          <w:p>
            <w:pPr>
              <w:wordWrap w:val="0"/>
              <w:spacing w:line="360" w:lineRule="auto"/>
              <w:jc w:val="right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年         月 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教科办</w:t>
            </w:r>
          </w:p>
          <w:p>
            <w:pPr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审核意见</w:t>
            </w:r>
          </w:p>
        </w:tc>
        <w:tc>
          <w:tcPr>
            <w:tcW w:w="8525" w:type="dxa"/>
            <w:gridSpan w:val="8"/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  <w:p>
            <w:pPr>
              <w:jc w:val="center"/>
              <w:rPr>
                <w:rFonts w:eastAsiaTheme="minorEastAsia" w:cstheme="minorBidi"/>
              </w:rPr>
            </w:pPr>
          </w:p>
          <w:p>
            <w:pPr>
              <w:jc w:val="center"/>
              <w:rPr>
                <w:rFonts w:eastAsiaTheme="minorEastAsia" w:cstheme="minorBidi"/>
              </w:rPr>
            </w:pPr>
          </w:p>
          <w:p>
            <w:pPr>
              <w:spacing w:line="360" w:lineRule="auto"/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 xml:space="preserve">                                        签名：</w:t>
            </w:r>
          </w:p>
          <w:p>
            <w:pPr>
              <w:spacing w:line="360" w:lineRule="auto"/>
              <w:jc w:val="right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年         月 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gridSpan w:val="2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学院</w:t>
            </w:r>
          </w:p>
          <w:p>
            <w:pPr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审核意见</w:t>
            </w:r>
          </w:p>
        </w:tc>
        <w:tc>
          <w:tcPr>
            <w:tcW w:w="8525" w:type="dxa"/>
            <w:gridSpan w:val="8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eastAsiaTheme="minorEastAsia" w:cstheme="minorBidi"/>
              </w:rPr>
            </w:pPr>
          </w:p>
          <w:p>
            <w:pPr>
              <w:jc w:val="center"/>
              <w:rPr>
                <w:rFonts w:eastAsiaTheme="minorEastAsia" w:cstheme="minorBidi"/>
              </w:rPr>
            </w:pPr>
          </w:p>
          <w:p>
            <w:pPr>
              <w:spacing w:line="360" w:lineRule="auto"/>
              <w:jc w:val="center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 xml:space="preserve">                                         签名：</w:t>
            </w:r>
          </w:p>
          <w:p>
            <w:pPr>
              <w:spacing w:line="360" w:lineRule="auto"/>
              <w:jc w:val="right"/>
              <w:rPr>
                <w:rFonts w:eastAsiaTheme="minorEastAsia" w:cstheme="minorBidi"/>
              </w:rPr>
            </w:pPr>
            <w:r>
              <w:rPr>
                <w:rFonts w:hint="eastAsia" w:eastAsiaTheme="minorEastAsia" w:cstheme="minorBidi"/>
              </w:rPr>
              <w:t>年         月 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0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ind w:firstLine="360" w:firstLineChars="200"/>
              <w:jc w:val="left"/>
              <w:rPr>
                <w:rFonts w:hint="eastAsia" w:eastAsiaTheme="minorEastAsia" w:cstheme="minorBidi"/>
                <w:sz w:val="18"/>
                <w:szCs w:val="18"/>
              </w:rPr>
            </w:pPr>
            <w:r>
              <w:rPr>
                <w:rFonts w:hint="eastAsia" w:eastAsiaTheme="minorEastAsia" w:cstheme="minorBidi"/>
                <w:sz w:val="18"/>
                <w:szCs w:val="18"/>
              </w:rPr>
              <w:t>备注：要求上一学期学评价成绩位于学院前50%；选课课号为教务系统选课情况查询显示的课程编号。</w:t>
            </w:r>
          </w:p>
          <w:p>
            <w:pPr>
              <w:ind w:firstLine="361" w:firstLineChars="200"/>
              <w:jc w:val="left"/>
              <w:rPr>
                <w:rFonts w:eastAsiaTheme="minorEastAsia" w:cstheme="minorBidi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i/>
                <w:kern w:val="0"/>
                <w:sz w:val="18"/>
                <w:szCs w:val="18"/>
              </w:rPr>
              <w:t>*</w:t>
            </w:r>
            <w:r>
              <w:rPr>
                <w:rFonts w:cs="Times New Roman" w:eastAsiaTheme="minorEastAsia"/>
                <w:i/>
                <w:kern w:val="0"/>
                <w:sz w:val="18"/>
                <w:szCs w:val="18"/>
              </w:rPr>
              <w:t>2019-2020-2</w:t>
            </w:r>
            <w:r>
              <w:rPr>
                <w:rFonts w:hint="eastAsia" w:cs="宋体" w:asciiTheme="minorEastAsia" w:hAnsiTheme="minorEastAsia" w:eastAsiaTheme="minorEastAsia"/>
                <w:i/>
                <w:kern w:val="0"/>
                <w:sz w:val="18"/>
                <w:szCs w:val="18"/>
              </w:rPr>
              <w:t>学期网络教学期间新增项目。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60F3"/>
    <w:rsid w:val="00013B61"/>
    <w:rsid w:val="00017460"/>
    <w:rsid w:val="00025EAD"/>
    <w:rsid w:val="000479B5"/>
    <w:rsid w:val="00077C31"/>
    <w:rsid w:val="00083B17"/>
    <w:rsid w:val="00090509"/>
    <w:rsid w:val="0010195A"/>
    <w:rsid w:val="001B60F3"/>
    <w:rsid w:val="001B6FC0"/>
    <w:rsid w:val="00203D9A"/>
    <w:rsid w:val="00216E57"/>
    <w:rsid w:val="002572DA"/>
    <w:rsid w:val="00281D49"/>
    <w:rsid w:val="002C2B20"/>
    <w:rsid w:val="002E5AAB"/>
    <w:rsid w:val="00301AA1"/>
    <w:rsid w:val="003027DD"/>
    <w:rsid w:val="00356530"/>
    <w:rsid w:val="00386414"/>
    <w:rsid w:val="00395938"/>
    <w:rsid w:val="003C587E"/>
    <w:rsid w:val="003C68A9"/>
    <w:rsid w:val="003E7C36"/>
    <w:rsid w:val="00420628"/>
    <w:rsid w:val="00441553"/>
    <w:rsid w:val="004453C0"/>
    <w:rsid w:val="004960C2"/>
    <w:rsid w:val="005019E9"/>
    <w:rsid w:val="00532E3F"/>
    <w:rsid w:val="005726A0"/>
    <w:rsid w:val="0058174C"/>
    <w:rsid w:val="00586C6C"/>
    <w:rsid w:val="005C06D3"/>
    <w:rsid w:val="005D7B24"/>
    <w:rsid w:val="005F65D4"/>
    <w:rsid w:val="005F6DD5"/>
    <w:rsid w:val="00646EDB"/>
    <w:rsid w:val="00692B0D"/>
    <w:rsid w:val="00713328"/>
    <w:rsid w:val="00723F46"/>
    <w:rsid w:val="007256C1"/>
    <w:rsid w:val="0074458C"/>
    <w:rsid w:val="0075467B"/>
    <w:rsid w:val="007914F6"/>
    <w:rsid w:val="007B02A3"/>
    <w:rsid w:val="007C3792"/>
    <w:rsid w:val="007D1749"/>
    <w:rsid w:val="007E103F"/>
    <w:rsid w:val="007F277E"/>
    <w:rsid w:val="007F707A"/>
    <w:rsid w:val="00803E9C"/>
    <w:rsid w:val="008173FB"/>
    <w:rsid w:val="00824BB1"/>
    <w:rsid w:val="00835BF3"/>
    <w:rsid w:val="00837666"/>
    <w:rsid w:val="00892D02"/>
    <w:rsid w:val="008A07FF"/>
    <w:rsid w:val="008B0174"/>
    <w:rsid w:val="008E7C2F"/>
    <w:rsid w:val="008F1118"/>
    <w:rsid w:val="009071BE"/>
    <w:rsid w:val="00915664"/>
    <w:rsid w:val="009802E4"/>
    <w:rsid w:val="009D76A2"/>
    <w:rsid w:val="009E65BA"/>
    <w:rsid w:val="00A45050"/>
    <w:rsid w:val="00A50126"/>
    <w:rsid w:val="00AB489C"/>
    <w:rsid w:val="00AC561C"/>
    <w:rsid w:val="00AD4573"/>
    <w:rsid w:val="00AE3E43"/>
    <w:rsid w:val="00B26A54"/>
    <w:rsid w:val="00B37E36"/>
    <w:rsid w:val="00B761C8"/>
    <w:rsid w:val="00B947D7"/>
    <w:rsid w:val="00BB040C"/>
    <w:rsid w:val="00BB2062"/>
    <w:rsid w:val="00BD4479"/>
    <w:rsid w:val="00BD7D4F"/>
    <w:rsid w:val="00BE350A"/>
    <w:rsid w:val="00BE690C"/>
    <w:rsid w:val="00BF2843"/>
    <w:rsid w:val="00C001E8"/>
    <w:rsid w:val="00C324EA"/>
    <w:rsid w:val="00C7635D"/>
    <w:rsid w:val="00CB4F9F"/>
    <w:rsid w:val="00CC08DE"/>
    <w:rsid w:val="00CD10AE"/>
    <w:rsid w:val="00CD3C96"/>
    <w:rsid w:val="00CE7974"/>
    <w:rsid w:val="00CF0A5C"/>
    <w:rsid w:val="00D1263D"/>
    <w:rsid w:val="00D221AF"/>
    <w:rsid w:val="00D51FE6"/>
    <w:rsid w:val="00DB66D0"/>
    <w:rsid w:val="00DB781C"/>
    <w:rsid w:val="00DC0A8C"/>
    <w:rsid w:val="00EF0000"/>
    <w:rsid w:val="00F040C8"/>
    <w:rsid w:val="00F41E36"/>
    <w:rsid w:val="00F42942"/>
    <w:rsid w:val="00F5504C"/>
    <w:rsid w:val="00FA7BF1"/>
    <w:rsid w:val="00FB59E6"/>
    <w:rsid w:val="00FE65F7"/>
    <w:rsid w:val="00FF2C7E"/>
    <w:rsid w:val="08726820"/>
    <w:rsid w:val="0B036F2B"/>
    <w:rsid w:val="0BDD0F44"/>
    <w:rsid w:val="357E59C3"/>
    <w:rsid w:val="3F7D5792"/>
    <w:rsid w:val="48746F9D"/>
    <w:rsid w:val="48C56FFE"/>
    <w:rsid w:val="522A4B25"/>
    <w:rsid w:val="53B15CAD"/>
    <w:rsid w:val="5B135CE0"/>
    <w:rsid w:val="724D3663"/>
    <w:rsid w:val="787E37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qFormat/>
    <w:uiPriority w:val="0"/>
    <w:rPr>
      <w:rFonts w:ascii="宋体"/>
      <w:sz w:val="18"/>
      <w:szCs w:val="18"/>
    </w:rPr>
  </w:style>
  <w:style w:type="paragraph" w:styleId="3">
    <w:name w:val="annotation text"/>
    <w:basedOn w:val="1"/>
    <w:link w:val="12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520" w:lineRule="exact"/>
      <w:ind w:firstLine="750" w:firstLineChars="250"/>
    </w:pPr>
    <w:rPr>
      <w:rFonts w:ascii="仿宋_GB2312" w:eastAsia="仿宋_GB2312"/>
      <w:sz w:val="30"/>
      <w:szCs w:val="32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  <w:szCs w:val="32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文字 Char"/>
    <w:basedOn w:val="11"/>
    <w:link w:val="3"/>
    <w:qFormat/>
    <w:uiPriority w:val="0"/>
    <w:rPr>
      <w:kern w:val="2"/>
      <w:sz w:val="21"/>
      <w:szCs w:val="24"/>
    </w:rPr>
  </w:style>
  <w:style w:type="paragraph" w:styleId="13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="Calibri" w:hAnsi="Calibri" w:cstheme="minorBidi"/>
      <w:szCs w:val="22"/>
    </w:rPr>
  </w:style>
  <w:style w:type="character" w:customStyle="1" w:styleId="16">
    <w:name w:val="文档结构图 Char"/>
    <w:basedOn w:val="11"/>
    <w:link w:val="2"/>
    <w:qFormat/>
    <w:uiPriority w:val="0"/>
    <w:rPr>
      <w:rFonts w:ascii="宋体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hziee</Company>
  <Pages>4</Pages>
  <Words>426</Words>
  <Characters>2433</Characters>
  <Lines>20</Lines>
  <Paragraphs>5</Paragraphs>
  <TotalTime>72</TotalTime>
  <ScaleCrop>false</ScaleCrop>
  <LinksUpToDate>false</LinksUpToDate>
  <CharactersWithSpaces>2854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2016-05-12T07:09:00Z</dcterms:created>
  <dc:creator>hiee</dc:creator>
  <cp:lastModifiedBy>admin</cp:lastModifiedBy>
  <cp:lastPrinted>2019-06-26T06:33:00Z</cp:lastPrinted>
  <dcterms:modified xsi:type="dcterms:W3CDTF">2021-09-18T05:49:29Z</dcterms:modified>
  <dc:title>关于调整学术委员会成员的通知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